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B" w:rsidRPr="00D80FDC" w:rsidRDefault="00B57098" w:rsidP="00B57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DC">
        <w:rPr>
          <w:rFonts w:ascii="Times New Roman" w:hAnsi="Times New Roman" w:cs="Times New Roman"/>
          <w:sz w:val="28"/>
          <w:szCs w:val="28"/>
          <w:highlight w:val="yellow"/>
        </w:rPr>
        <w:t>Message reçu par courrie</w:t>
      </w:r>
      <w:r w:rsidR="00851FF6" w:rsidRPr="00D80FDC">
        <w:rPr>
          <w:rFonts w:ascii="Times New Roman" w:hAnsi="Times New Roman" w:cs="Times New Roman"/>
          <w:sz w:val="28"/>
          <w:szCs w:val="28"/>
          <w:highlight w:val="yellow"/>
        </w:rPr>
        <w:t>l adressé à notre Président</w:t>
      </w:r>
      <w:r w:rsidRPr="00D80FD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851FF6" w:rsidRPr="00D80FDC" w:rsidRDefault="00851FF6" w:rsidP="00851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DC">
        <w:rPr>
          <w:rFonts w:ascii="Times New Roman" w:hAnsi="Times New Roman" w:cs="Times New Roman"/>
          <w:color w:val="FF0000"/>
          <w:sz w:val="28"/>
          <w:szCs w:val="28"/>
        </w:rPr>
        <w:t>Réponse des affaires maritimes sur les</w:t>
      </w:r>
      <w:r w:rsidRPr="00D80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FDC">
        <w:rPr>
          <w:rFonts w:ascii="Times New Roman" w:hAnsi="Times New Roman" w:cs="Times New Roman"/>
          <w:color w:val="FF0000"/>
          <w:sz w:val="28"/>
          <w:szCs w:val="28"/>
        </w:rPr>
        <w:t>réglementations</w:t>
      </w:r>
    </w:p>
    <w:p w:rsidR="00D80FDC" w:rsidRDefault="00D80FDC" w:rsidP="00851FF6">
      <w:pPr>
        <w:pStyle w:val="NormalWeb"/>
      </w:pPr>
    </w:p>
    <w:p w:rsidR="00851FF6" w:rsidRDefault="00851FF6" w:rsidP="00851FF6">
      <w:pPr>
        <w:pStyle w:val="NormalWeb"/>
      </w:pPr>
      <w:r>
        <w:t>Monsieur le Président,</w:t>
      </w:r>
    </w:p>
    <w:p w:rsidR="00851FF6" w:rsidRDefault="00851FF6" w:rsidP="00851FF6">
      <w:pPr>
        <w:pStyle w:val="NormalWeb"/>
      </w:pPr>
      <w:r>
        <w:br/>
      </w:r>
      <w:r>
        <w:t xml:space="preserve">La question était : </w:t>
      </w:r>
    </w:p>
    <w:p w:rsidR="00851FF6" w:rsidRDefault="00851FF6" w:rsidP="00851FF6">
      <w:pPr>
        <w:pStyle w:val="NormalWeb"/>
        <w:spacing w:before="28" w:after="28"/>
      </w:pPr>
      <w:r>
        <w:rPr>
          <w:rFonts w:ascii="Arial" w:hAnsi="Arial" w:cs="Arial"/>
          <w:color w:val="3333FF"/>
        </w:rPr>
        <w:t>La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 xml:space="preserve">situation actuelle permet de mettre </w:t>
      </w:r>
      <w:r>
        <w:rPr>
          <w:rFonts w:ascii="Arial" w:hAnsi="Arial" w:cs="Arial"/>
          <w:color w:val="3333FF"/>
          <w:u w:val="single"/>
        </w:rPr>
        <w:t>en</w:t>
      </w:r>
      <w:r>
        <w:rPr>
          <w:rFonts w:ascii="Arial" w:hAnsi="Arial" w:cs="Arial"/>
          <w:color w:val="3333FF"/>
          <w:u w:val="single"/>
        </w:rPr>
        <w:t xml:space="preserve"> </w:t>
      </w:r>
      <w:r>
        <w:rPr>
          <w:rFonts w:ascii="Arial" w:hAnsi="Arial" w:cs="Arial"/>
          <w:color w:val="3333FF"/>
          <w:u w:val="single"/>
        </w:rPr>
        <w:t>action de pêche deux BAOS</w:t>
      </w:r>
      <w:r>
        <w:rPr>
          <w:rFonts w:ascii="Arial" w:hAnsi="Arial" w:cs="Arial"/>
          <w:color w:val="3333FF"/>
          <w:u w:val="single"/>
        </w:rPr>
        <w:t xml:space="preserve"> </w:t>
      </w:r>
      <w:r>
        <w:rPr>
          <w:rFonts w:ascii="Arial" w:hAnsi="Arial" w:cs="Arial"/>
          <w:color w:val="3333FF"/>
        </w:rPr>
        <w:t>assimilés à des palangres montés avec un jusqu’à 30 hameçons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chacun.</w:t>
      </w:r>
    </w:p>
    <w:p w:rsidR="00851FF6" w:rsidRDefault="00851FF6" w:rsidP="00851FF6">
      <w:pPr>
        <w:pStyle w:val="NormalWeb"/>
        <w:spacing w:before="28" w:after="28"/>
        <w:rPr>
          <w:rFonts w:ascii="Arial" w:hAnsi="Arial" w:cs="Arial"/>
          <w:color w:val="3333FF"/>
        </w:rPr>
      </w:pPr>
    </w:p>
    <w:p w:rsidR="00851FF6" w:rsidRDefault="00851FF6" w:rsidP="00851FF6">
      <w:pPr>
        <w:pStyle w:val="NormalWeb"/>
        <w:spacing w:before="28" w:after="28"/>
      </w:pPr>
      <w:r>
        <w:rPr>
          <w:rFonts w:ascii="Arial" w:hAnsi="Arial" w:cs="Arial"/>
          <w:color w:val="3333FF"/>
        </w:rPr>
        <w:t>Y-a-t-il interdiction de détenir à bord de son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embarcation du matériel de rechange comme des BAOS montés ou lignes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grées ou filets sans qu’ils soient comptabilisés comme ce fut le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 xml:space="preserve">cas, ou seul sont pris en considération lors d’un </w:t>
      </w:r>
      <w:r>
        <w:rPr>
          <w:rFonts w:ascii="Arial" w:hAnsi="Arial" w:cs="Arial"/>
          <w:color w:val="3333FF"/>
          <w:u w:val="single"/>
        </w:rPr>
        <w:t>contrôle</w:t>
      </w:r>
      <w:r>
        <w:rPr>
          <w:rFonts w:ascii="Arial" w:hAnsi="Arial" w:cs="Arial"/>
          <w:color w:val="3333FF"/>
          <w:u w:val="single"/>
        </w:rPr>
        <w:t xml:space="preserve"> </w:t>
      </w:r>
      <w:r>
        <w:rPr>
          <w:rFonts w:ascii="Arial" w:hAnsi="Arial" w:cs="Arial"/>
          <w:color w:val="3333FF"/>
          <w:u w:val="single"/>
        </w:rPr>
        <w:t>les engins en situation de pêche</w:t>
      </w:r>
      <w:r>
        <w:rPr>
          <w:rFonts w:ascii="Arial" w:hAnsi="Arial" w:cs="Arial"/>
          <w:color w:val="3333FF"/>
          <w:u w:val="single"/>
        </w:rPr>
        <w:t xml:space="preserve">  </w:t>
      </w:r>
      <w:r>
        <w:rPr>
          <w:rFonts w:ascii="Arial" w:hAnsi="Arial" w:cs="Arial"/>
          <w:color w:val="3333FF"/>
        </w:rPr>
        <w:t>ce qui nous semble être le plus probable.</w:t>
      </w:r>
    </w:p>
    <w:p w:rsidR="00851FF6" w:rsidRDefault="00851FF6" w:rsidP="00851FF6">
      <w:pPr>
        <w:pStyle w:val="NormalWeb"/>
        <w:spacing w:before="28" w:after="28"/>
      </w:pPr>
    </w:p>
    <w:p w:rsidR="00851FF6" w:rsidRDefault="00851FF6" w:rsidP="00851FF6">
      <w:pPr>
        <w:pStyle w:val="NormalWeb"/>
        <w:spacing w:before="28" w:after="28"/>
      </w:pPr>
      <w:r>
        <w:t>La réponse nous</w:t>
      </w:r>
      <w:r>
        <w:t xml:space="preserve"> </w:t>
      </w:r>
      <w:r>
        <w:t>est donnée par le Code rural et de la pêche maritime qui précise</w:t>
      </w:r>
      <w:r>
        <w:t xml:space="preserve"> </w:t>
      </w:r>
      <w:r>
        <w:t xml:space="preserve">dans son article R921-88, issu du </w:t>
      </w:r>
      <w:hyperlink r:id="rId5" w:tgtFrame="_blank" w:history="1">
        <w:r>
          <w:rPr>
            <w:rStyle w:val="Lienhypertexte"/>
            <w:color w:val="000000"/>
          </w:rPr>
          <w:t>Décret</w:t>
        </w:r>
        <w:r>
          <w:rPr>
            <w:rStyle w:val="Lienhypertexte"/>
            <w:color w:val="000000"/>
          </w:rPr>
          <w:t xml:space="preserve"> </w:t>
        </w:r>
        <w:r>
          <w:rPr>
            <w:rStyle w:val="Lienhypertexte"/>
            <w:color w:val="000000"/>
          </w:rPr>
          <w:t>n° 2014-1608 du 26 décembre 2014 relatif à la codification de la</w:t>
        </w:r>
        <w:r>
          <w:rPr>
            <w:rStyle w:val="Lienhypertexte"/>
            <w:color w:val="000000"/>
          </w:rPr>
          <w:t xml:space="preserve"> </w:t>
        </w:r>
        <w:r>
          <w:rPr>
            <w:rStyle w:val="Lienhypertexte"/>
            <w:color w:val="000000"/>
          </w:rPr>
          <w:t>partie réglementaire du livre IX du code rural et de la pêche</w:t>
        </w:r>
        <w:r>
          <w:rPr>
            <w:rStyle w:val="Lienhypertexte"/>
            <w:color w:val="000000"/>
          </w:rPr>
          <w:t xml:space="preserve"> </w:t>
        </w:r>
        <w:r>
          <w:rPr>
            <w:rStyle w:val="Lienhypertexte"/>
            <w:color w:val="000000"/>
          </w:rPr>
          <w:t>maritime </w:t>
        </w:r>
      </w:hyperlink>
      <w:r>
        <w:t xml:space="preserve"> que :</w:t>
      </w:r>
    </w:p>
    <w:p w:rsidR="00851FF6" w:rsidRDefault="00851FF6" w:rsidP="00851FF6">
      <w:pPr>
        <w:pStyle w:val="NormalWeb"/>
        <w:spacing w:before="28" w:after="28"/>
      </w:pPr>
    </w:p>
    <w:p w:rsidR="00851FF6" w:rsidRDefault="00851FF6" w:rsidP="00851FF6">
      <w:pPr>
        <w:pStyle w:val="NormalWeb"/>
        <w:spacing w:before="28" w:after="28"/>
      </w:pPr>
      <w:r>
        <w:t>"A bord des navires et</w:t>
      </w:r>
      <w:r>
        <w:t xml:space="preserve"> </w:t>
      </w:r>
      <w:r>
        <w:t>embarcations mentionnés aux sixième et septième alinéas de</w:t>
      </w:r>
      <w:r>
        <w:t xml:space="preserve"> </w:t>
      </w:r>
      <w:r>
        <w:t xml:space="preserve">l'article R 921-83, sont seuls autorisés </w:t>
      </w:r>
      <w:r>
        <w:rPr>
          <w:color w:val="FF6666"/>
          <w:sz w:val="48"/>
          <w:szCs w:val="48"/>
          <w:u w:val="single"/>
        </w:rPr>
        <w:t>la</w:t>
      </w:r>
      <w:r>
        <w:rPr>
          <w:color w:val="FF6666"/>
          <w:sz w:val="48"/>
          <w:szCs w:val="48"/>
          <w:u w:val="single"/>
        </w:rPr>
        <w:t xml:space="preserve"> </w:t>
      </w:r>
      <w:r>
        <w:rPr>
          <w:color w:val="FF6666"/>
          <w:sz w:val="48"/>
          <w:szCs w:val="48"/>
          <w:u w:val="single"/>
        </w:rPr>
        <w:t>détention et l'usage</w:t>
      </w:r>
      <w:r>
        <w:t xml:space="preserve"> de :</w:t>
      </w:r>
    </w:p>
    <w:p w:rsidR="00851FF6" w:rsidRDefault="00851FF6" w:rsidP="00851FF6">
      <w:pPr>
        <w:pStyle w:val="NormalWeb"/>
        <w:spacing w:before="28" w:after="28"/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1° Deux palangres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munies chacune de trente hameçons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2° Deux casiers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3°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Une foëne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 xml:space="preserve">4° Une épuisette ou " </w:t>
      </w:r>
      <w:proofErr w:type="spellStart"/>
      <w:r w:rsidRPr="00851FF6">
        <w:rPr>
          <w:highlight w:val="yellow"/>
        </w:rPr>
        <w:t>salabre</w:t>
      </w:r>
      <w:proofErr w:type="spellEnd"/>
      <w:r w:rsidRPr="00851FF6">
        <w:rPr>
          <w:highlight w:val="yellow"/>
        </w:rPr>
        <w:t xml:space="preserve"> "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5°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Lignes gréées sous condition que l'ensemble des lignes utilisées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en action de pêche soit équipé au maximum de douze hameçons, un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leurre étant équivalent à un hameçon ; par dérogation à cette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limite, les lignes utilisées en action de pêche sont équipées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d'un maximum de cinq hameçons par personne, un leurre étant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équivalent à un hameçon, dans les cas prévus par arrêté du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ministre chargé des pêches maritimes et de l'aquaculture marine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br/>
        <w:t xml:space="preserve">6° En Méditerranée, une </w:t>
      </w:r>
      <w:proofErr w:type="spellStart"/>
      <w:r w:rsidRPr="00851FF6">
        <w:rPr>
          <w:highlight w:val="yellow"/>
        </w:rPr>
        <w:t>grappette</w:t>
      </w:r>
      <w:proofErr w:type="spellEnd"/>
      <w:r w:rsidRPr="00851FF6">
        <w:rPr>
          <w:highlight w:val="yellow"/>
        </w:rPr>
        <w:t xml:space="preserve"> à dents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7° En mer du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Nord, Manche ou Atlantique, un filet maillant calé ou un filet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 xml:space="preserve">trémail d'une longueur </w:t>
      </w:r>
      <w:r w:rsidRPr="00851FF6">
        <w:rPr>
          <w:highlight w:val="yellow"/>
        </w:rPr>
        <w:t>M</w:t>
      </w:r>
      <w:r w:rsidRPr="00851FF6">
        <w:rPr>
          <w:highlight w:val="yellow"/>
        </w:rPr>
        <w:t>aximale de 50 mètres, d'une hauteur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maximale de 2 mètres en pêche, sauf dans la partie des eaux salées</w:t>
      </w:r>
      <w:r w:rsidRPr="00851FF6">
        <w:rPr>
          <w:highlight w:val="yellow"/>
        </w:rPr>
        <w:br/>
        <w:t>des estuaires et des embouchures des fleuves et rivières en amont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d'une limite fixée par arrêté des autorités mentionnées à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 xml:space="preserve">l'article </w:t>
      </w:r>
      <w:hyperlink r:id="rId6" w:tgtFrame="_blank" w:history="1">
        <w:r w:rsidRPr="00851FF6">
          <w:rPr>
            <w:rStyle w:val="Lienhypertexte"/>
            <w:highlight w:val="yellow"/>
          </w:rPr>
          <w:t>R.* 911-3</w:t>
        </w:r>
      </w:hyperlink>
      <w:r w:rsidRPr="00851FF6">
        <w:rPr>
          <w:highlight w:val="yellow"/>
        </w:rPr>
        <w:t xml:space="preserve"> ;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  <w:r w:rsidRPr="00851FF6">
        <w:rPr>
          <w:highlight w:val="yellow"/>
        </w:rPr>
        <w:t>8° Dans le ressort des circonscriptions des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préfets des régions Bretagne, Pays de la Loire et Aquitaine, telles</w:t>
      </w:r>
      <w:r w:rsidRPr="00851FF6">
        <w:rPr>
          <w:highlight w:val="yellow"/>
        </w:rPr>
        <w:br/>
        <w:t>que définies au même article, un carrelet par navire et trois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balances par personne embarquée.</w:t>
      </w:r>
    </w:p>
    <w:p w:rsidR="00851FF6" w:rsidRPr="00851FF6" w:rsidRDefault="00851FF6" w:rsidP="00851FF6">
      <w:pPr>
        <w:pStyle w:val="NormalWeb"/>
        <w:spacing w:before="28" w:after="28"/>
        <w:rPr>
          <w:highlight w:val="yellow"/>
        </w:rPr>
      </w:pPr>
    </w:p>
    <w:p w:rsidR="00851FF6" w:rsidRDefault="00851FF6" w:rsidP="00851FF6">
      <w:pPr>
        <w:pStyle w:val="NormalWeb"/>
        <w:spacing w:before="28" w:after="28"/>
      </w:pPr>
      <w:r w:rsidRPr="00851FF6">
        <w:rPr>
          <w:highlight w:val="yellow"/>
        </w:rPr>
        <w:t>Les engins autorisés à bord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des navires autres que ceux mentionnés au premier alinéa peuvent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être fixés par arrêté du ministre chargé des pêches maritimes</w:t>
      </w:r>
      <w:r w:rsidRPr="00851FF6">
        <w:rPr>
          <w:highlight w:val="yellow"/>
        </w:rPr>
        <w:t xml:space="preserve"> </w:t>
      </w:r>
      <w:r w:rsidRPr="00851FF6">
        <w:rPr>
          <w:highlight w:val="yellow"/>
        </w:rPr>
        <w:t>et de l'aquaculture marine...."</w:t>
      </w:r>
    </w:p>
    <w:p w:rsidR="00851FF6" w:rsidRDefault="00851FF6" w:rsidP="00851FF6"/>
    <w:p w:rsidR="00851FF6" w:rsidRPr="00D80FDC" w:rsidRDefault="00851FF6" w:rsidP="00851FF6">
      <w:pPr>
        <w:rPr>
          <w:rFonts w:ascii="Times New Roman" w:hAnsi="Times New Roman" w:cs="Times New Roman"/>
        </w:rPr>
      </w:pPr>
      <w:r w:rsidRPr="00D80FDC">
        <w:rPr>
          <w:rFonts w:ascii="Times New Roman" w:hAnsi="Times New Roman" w:cs="Times New Roman"/>
        </w:rPr>
        <w:lastRenderedPageBreak/>
        <w:t>Sur un plan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 xml:space="preserve">général, la réglementation limite donc l'usage </w:t>
      </w:r>
      <w:r w:rsidRPr="00D80FDC">
        <w:rPr>
          <w:rFonts w:ascii="Times New Roman" w:hAnsi="Times New Roman" w:cs="Times New Roman"/>
          <w:u w:val="single"/>
        </w:rPr>
        <w:t>et</w:t>
      </w:r>
      <w:r w:rsidRPr="00D80FDC">
        <w:rPr>
          <w:rFonts w:ascii="Times New Roman" w:hAnsi="Times New Roman" w:cs="Times New Roman"/>
        </w:rPr>
        <w:t xml:space="preserve"> la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>détention à bord : il ne peut donc y avoir de palangres de réserve,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>comme il ne peut y avoir de filet ou de casier de réserve.</w:t>
      </w:r>
    </w:p>
    <w:p w:rsidR="00851FF6" w:rsidRPr="00D80FDC" w:rsidRDefault="00851FF6" w:rsidP="00851FF6">
      <w:pPr>
        <w:rPr>
          <w:rFonts w:ascii="Times New Roman" w:hAnsi="Times New Roman" w:cs="Times New Roman"/>
        </w:rPr>
      </w:pPr>
      <w:r w:rsidRPr="00D80FDC">
        <w:rPr>
          <w:rFonts w:ascii="Times New Roman" w:hAnsi="Times New Roman" w:cs="Times New Roman"/>
        </w:rPr>
        <w:br/>
        <w:t>Espérant</w:t>
      </w:r>
      <w:r w:rsidRPr="00D80FDC">
        <w:rPr>
          <w:rFonts w:ascii="Times New Roman" w:hAnsi="Times New Roman" w:cs="Times New Roman"/>
        </w:rPr>
        <w:br/>
        <w:t>avoir répondu à votre interrogation, les agents de la DML, et en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>particulier ceux de l'ULAM du Morbihan, restent à votre disposition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>pour des compléments d'information dont vous souhaiteriez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>disposer.</w:t>
      </w:r>
    </w:p>
    <w:p w:rsidR="00851FF6" w:rsidRPr="00D80FDC" w:rsidRDefault="00851FF6" w:rsidP="00851FF6">
      <w:pPr>
        <w:rPr>
          <w:rFonts w:ascii="Times New Roman" w:hAnsi="Times New Roman" w:cs="Times New Roman"/>
        </w:rPr>
      </w:pPr>
      <w:r w:rsidRPr="00D80FDC">
        <w:rPr>
          <w:rFonts w:ascii="Times New Roman" w:hAnsi="Times New Roman" w:cs="Times New Roman"/>
        </w:rPr>
        <w:t>Cordialement</w:t>
      </w:r>
    </w:p>
    <w:p w:rsidR="00851FF6" w:rsidRPr="00D80FDC" w:rsidRDefault="00851FF6" w:rsidP="00851FF6">
      <w:pPr>
        <w:rPr>
          <w:rFonts w:ascii="Times New Roman" w:hAnsi="Times New Roman" w:cs="Times New Roman"/>
        </w:rPr>
      </w:pPr>
      <w:r w:rsidRPr="00D80FDC">
        <w:rPr>
          <w:rFonts w:ascii="Times New Roman" w:hAnsi="Times New Roman" w:cs="Times New Roman"/>
        </w:rPr>
        <w:t>Jean Luc Veille</w:t>
      </w:r>
      <w:r w:rsidRPr="00D80FDC">
        <w:rPr>
          <w:rFonts w:ascii="Times New Roman" w:hAnsi="Times New Roman" w:cs="Times New Roman"/>
        </w:rPr>
        <w:t xml:space="preserve">,   </w:t>
      </w:r>
      <w:r w:rsidRPr="00D80FDC">
        <w:rPr>
          <w:rFonts w:ascii="Times New Roman" w:hAnsi="Times New Roman" w:cs="Times New Roman"/>
        </w:rPr>
        <w:t>Administrateur en chef des</w:t>
      </w:r>
      <w:r w:rsidRPr="00D80FDC">
        <w:rPr>
          <w:rFonts w:ascii="Times New Roman" w:hAnsi="Times New Roman" w:cs="Times New Roman"/>
        </w:rPr>
        <w:t xml:space="preserve"> </w:t>
      </w:r>
      <w:r w:rsidRPr="00D80FDC">
        <w:rPr>
          <w:rFonts w:ascii="Times New Roman" w:hAnsi="Times New Roman" w:cs="Times New Roman"/>
        </w:rPr>
        <w:t xml:space="preserve">Affaires </w:t>
      </w:r>
      <w:r w:rsidRPr="00D80FDC">
        <w:rPr>
          <w:rFonts w:ascii="Times New Roman" w:hAnsi="Times New Roman" w:cs="Times New Roman"/>
        </w:rPr>
        <w:t>Maritimes.</w:t>
      </w:r>
    </w:p>
    <w:p w:rsidR="00D80FDC" w:rsidRDefault="00D80FDC" w:rsidP="00851FF6"/>
    <w:p w:rsidR="00851FF6" w:rsidRDefault="00851FF6" w:rsidP="00851FF6">
      <w:pPr>
        <w:jc w:val="center"/>
      </w:pPr>
      <w:r>
        <w:t>££££££££££££££££££££££££</w:t>
      </w:r>
    </w:p>
    <w:p w:rsidR="00851FF6" w:rsidRPr="00D80FDC" w:rsidRDefault="00851FF6" w:rsidP="00851FF6">
      <w:pPr>
        <w:rPr>
          <w:sz w:val="28"/>
          <w:szCs w:val="28"/>
        </w:rPr>
      </w:pPr>
      <w:r w:rsidRPr="00D80FDC">
        <w:rPr>
          <w:sz w:val="28"/>
          <w:szCs w:val="28"/>
          <w:highlight w:val="green"/>
        </w:rPr>
        <w:t>Etaient joints 3 documents</w:t>
      </w:r>
      <w:r w:rsidR="00D80FDC" w:rsidRPr="00D80FDC">
        <w:rPr>
          <w:sz w:val="28"/>
          <w:szCs w:val="28"/>
          <w:highlight w:val="green"/>
        </w:rPr>
        <w:t> :</w:t>
      </w:r>
      <w:bookmarkStart w:id="0" w:name="_GoBack"/>
      <w:bookmarkEnd w:id="0"/>
    </w:p>
    <w:p w:rsidR="00851FF6" w:rsidRPr="00D80FDC" w:rsidRDefault="00851FF6" w:rsidP="00851FF6">
      <w:pPr>
        <w:rPr>
          <w:sz w:val="28"/>
          <w:szCs w:val="28"/>
        </w:rPr>
      </w:pPr>
      <w:r w:rsidRPr="00D80FDC">
        <w:rPr>
          <w:sz w:val="28"/>
          <w:szCs w:val="28"/>
        </w:rPr>
        <w:t>DECRET 26 12 2014 joe_20141227_0007.pdf</w:t>
      </w:r>
    </w:p>
    <w:p w:rsidR="00851FF6" w:rsidRPr="00D80FDC" w:rsidRDefault="00851FF6" w:rsidP="00851FF6">
      <w:pPr>
        <w:rPr>
          <w:sz w:val="28"/>
          <w:szCs w:val="28"/>
        </w:rPr>
      </w:pPr>
      <w:r w:rsidRPr="00D80FDC">
        <w:rPr>
          <w:sz w:val="28"/>
          <w:szCs w:val="28"/>
        </w:rPr>
        <w:t>Arrêté fermeture Groix Nord 18 0  6.pdf</w:t>
      </w:r>
    </w:p>
    <w:p w:rsidR="00851FF6" w:rsidRPr="00D80FDC" w:rsidRDefault="00851FF6" w:rsidP="00851FF6">
      <w:pPr>
        <w:rPr>
          <w:sz w:val="28"/>
          <w:szCs w:val="28"/>
        </w:rPr>
      </w:pPr>
      <w:r w:rsidRPr="00D80FDC">
        <w:rPr>
          <w:sz w:val="28"/>
          <w:szCs w:val="28"/>
        </w:rPr>
        <w:t>Carte sanitaire au 18 juin 2014.pdf</w:t>
      </w:r>
    </w:p>
    <w:p w:rsidR="00851FF6" w:rsidRPr="00D80FDC" w:rsidRDefault="00D80FDC" w:rsidP="00851FF6">
      <w:pPr>
        <w:rPr>
          <w:sz w:val="28"/>
          <w:szCs w:val="28"/>
        </w:rPr>
      </w:pPr>
      <w:r w:rsidRPr="00D80FDC">
        <w:rPr>
          <w:sz w:val="28"/>
          <w:szCs w:val="28"/>
          <w:highlight w:val="green"/>
        </w:rPr>
        <w:t>Que</w:t>
      </w:r>
      <w:r w:rsidRPr="00D80FDC">
        <w:rPr>
          <w:sz w:val="28"/>
          <w:szCs w:val="28"/>
          <w:highlight w:val="green"/>
        </w:rPr>
        <w:t xml:space="preserve"> vous pouvez recevoir en </w:t>
      </w:r>
      <w:r w:rsidRPr="00D80FDC">
        <w:rPr>
          <w:sz w:val="28"/>
          <w:szCs w:val="28"/>
          <w:highlight w:val="green"/>
        </w:rPr>
        <w:t xml:space="preserve">vous </w:t>
      </w:r>
      <w:r w:rsidRPr="00D80FDC">
        <w:rPr>
          <w:sz w:val="28"/>
          <w:szCs w:val="28"/>
          <w:highlight w:val="green"/>
        </w:rPr>
        <w:t>adressant   à </w:t>
      </w:r>
      <w:r w:rsidRPr="00D80FDC">
        <w:rPr>
          <w:sz w:val="28"/>
          <w:szCs w:val="28"/>
          <w:highlight w:val="green"/>
        </w:rPr>
        <w:t xml:space="preserve">: </w:t>
      </w:r>
      <w:hyperlink r:id="rId7" w:history="1">
        <w:r w:rsidRPr="00D80FDC">
          <w:rPr>
            <w:rStyle w:val="Lienhypertexte"/>
            <w:sz w:val="28"/>
            <w:szCs w:val="28"/>
            <w:highlight w:val="green"/>
          </w:rPr>
          <w:t>sonalom@wanadoo.fr</w:t>
        </w:r>
      </w:hyperlink>
    </w:p>
    <w:p w:rsidR="00851FF6" w:rsidRDefault="00851FF6">
      <w:pPr>
        <w:rPr>
          <w:rFonts w:ascii="Arial" w:eastAsia="Times New Roman" w:hAnsi="Arial" w:cs="Arial"/>
          <w:sz w:val="20"/>
          <w:szCs w:val="20"/>
        </w:rPr>
      </w:pPr>
    </w:p>
    <w:sectPr w:rsidR="00851FF6" w:rsidSect="0042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4"/>
    <w:rsid w:val="00051A0C"/>
    <w:rsid w:val="000C29B2"/>
    <w:rsid w:val="001058C0"/>
    <w:rsid w:val="001260F3"/>
    <w:rsid w:val="00173212"/>
    <w:rsid w:val="00176F80"/>
    <w:rsid w:val="00343764"/>
    <w:rsid w:val="003D530B"/>
    <w:rsid w:val="00423997"/>
    <w:rsid w:val="00496355"/>
    <w:rsid w:val="00524A35"/>
    <w:rsid w:val="005C31C0"/>
    <w:rsid w:val="005C5708"/>
    <w:rsid w:val="006E7027"/>
    <w:rsid w:val="00780879"/>
    <w:rsid w:val="00814678"/>
    <w:rsid w:val="00851FF6"/>
    <w:rsid w:val="008E1F88"/>
    <w:rsid w:val="0097352C"/>
    <w:rsid w:val="00984A04"/>
    <w:rsid w:val="00992409"/>
    <w:rsid w:val="009E557E"/>
    <w:rsid w:val="00A65622"/>
    <w:rsid w:val="00A90E9C"/>
    <w:rsid w:val="00B20C31"/>
    <w:rsid w:val="00B57098"/>
    <w:rsid w:val="00B96C95"/>
    <w:rsid w:val="00C471D1"/>
    <w:rsid w:val="00CC1978"/>
    <w:rsid w:val="00D00050"/>
    <w:rsid w:val="00D46314"/>
    <w:rsid w:val="00D80FDC"/>
    <w:rsid w:val="00DA33EC"/>
    <w:rsid w:val="00E171B3"/>
    <w:rsid w:val="00E525AE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70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70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alom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CodeArticle.do;jsessionid=7FD370142C211DCBC3EEC48BFB7CF104.tpdjo17v_3?cidTexte=LEGITEXT000006071367&amp;idArticle=LEGIARTI000029977461&amp;dateTexte=&amp;categorieLien=cid" TargetMode="External"/><Relationship Id="rId5" Type="http://schemas.openxmlformats.org/officeDocument/2006/relationships/hyperlink" Target="http://www.legifrance.gouv.fr/affichTexte.do;jsessionid=7FD370142C211DCBC3EEC48BFB7CF104.tpdjo17v_3?cidTexte=JORFTEXT000029972968&amp;dateTexte=20150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COURBARIAUX</dc:creator>
  <cp:lastModifiedBy>Bernard COURBARIAUX</cp:lastModifiedBy>
  <cp:revision>3</cp:revision>
  <dcterms:created xsi:type="dcterms:W3CDTF">2015-02-14T15:00:00Z</dcterms:created>
  <dcterms:modified xsi:type="dcterms:W3CDTF">2015-02-14T15:25:00Z</dcterms:modified>
</cp:coreProperties>
</file>